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C05DA2">
        <w:rPr>
          <w:rFonts w:eastAsia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5DA2" w:rsidRPr="00C05DA2" w14:paraId="1A01B38A" w14:textId="77777777" w:rsidTr="00F41358">
        <w:tc>
          <w:tcPr>
            <w:tcW w:w="4508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092BA6B0" w14:textId="77777777" w:rsidTr="00F41358">
        <w:tc>
          <w:tcPr>
            <w:tcW w:w="4508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25ED25EA" w14:textId="4BC69440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>STATEMENT OF BOARDING PRINCIPLES AND PRACTICE</w:t>
            </w:r>
          </w:p>
          <w:p w14:paraId="15D43616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169F97E3" w14:textId="77777777" w:rsidTr="00F41358">
        <w:tc>
          <w:tcPr>
            <w:tcW w:w="4508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05DA2" w:rsidRPr="00C05DA2" w14:paraId="7AB07606" w14:textId="77777777" w:rsidTr="328ECE67">
        <w:tc>
          <w:tcPr>
            <w:tcW w:w="3539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lang w:eastAsia="en-GB"/>
              </w:rPr>
            </w:pPr>
            <w:r w:rsidRPr="00C05DA2">
              <w:rPr>
                <w:b/>
                <w:bCs/>
                <w:lang w:eastAsia="en-GB"/>
              </w:rPr>
              <w:t>Relevant Statutory Regulations:</w:t>
            </w:r>
          </w:p>
        </w:tc>
        <w:tc>
          <w:tcPr>
            <w:tcW w:w="5477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NMS1</w:t>
            </w:r>
          </w:p>
        </w:tc>
      </w:tr>
      <w:tr w:rsidR="00C05DA2" w:rsidRPr="00C05DA2" w14:paraId="4188AF97" w14:textId="77777777" w:rsidTr="328ECE67">
        <w:tc>
          <w:tcPr>
            <w:tcW w:w="3539" w:type="dxa"/>
          </w:tcPr>
          <w:p w14:paraId="5EACB6BE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lang w:eastAsia="en-GB"/>
              </w:rPr>
            </w:pPr>
            <w:r w:rsidRPr="00C05DA2">
              <w:rPr>
                <w:b/>
                <w:bCs/>
                <w:lang w:eastAsia="en-GB"/>
              </w:rPr>
              <w:t>Nominated member of SMT responsible for the policy:</w:t>
            </w:r>
          </w:p>
        </w:tc>
        <w:tc>
          <w:tcPr>
            <w:tcW w:w="5477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James Wilder</w:t>
            </w:r>
            <w:r>
              <w:rPr>
                <w:bCs/>
                <w:lang w:eastAsia="en-GB"/>
              </w:rPr>
              <w:br/>
              <w:t>James Curtis-Nye</w:t>
            </w:r>
          </w:p>
        </w:tc>
      </w:tr>
      <w:tr w:rsidR="00C05DA2" w:rsidRPr="00C05DA2" w14:paraId="4E0F0221" w14:textId="77777777" w:rsidTr="328ECE67">
        <w:tc>
          <w:tcPr>
            <w:tcW w:w="3539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lang w:eastAsia="en-GB"/>
              </w:rPr>
            </w:pPr>
            <w:r w:rsidRPr="00C05DA2">
              <w:rPr>
                <w:b/>
                <w:bCs/>
                <w:lang w:eastAsia="en-GB"/>
              </w:rPr>
              <w:t>Updated:</w:t>
            </w:r>
          </w:p>
        </w:tc>
        <w:tc>
          <w:tcPr>
            <w:tcW w:w="5477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  <w:rPr>
                <w:lang w:eastAsia="en-GB"/>
              </w:rPr>
            </w:pPr>
            <w:r>
              <w:rPr>
                <w:lang w:eastAsia="en-GB"/>
              </w:rPr>
              <w:t>20 June 2022</w:t>
            </w:r>
          </w:p>
        </w:tc>
      </w:tr>
      <w:tr w:rsidR="00C05DA2" w:rsidRPr="00C05DA2" w14:paraId="5B7B43C6" w14:textId="77777777" w:rsidTr="328ECE67">
        <w:tc>
          <w:tcPr>
            <w:tcW w:w="3539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lang w:eastAsia="en-GB"/>
              </w:rPr>
            </w:pPr>
            <w:r w:rsidRPr="00C05DA2">
              <w:rPr>
                <w:b/>
                <w:bCs/>
                <w:lang w:eastAsia="en-GB"/>
              </w:rPr>
              <w:t>Date of next review:</w:t>
            </w:r>
          </w:p>
        </w:tc>
        <w:tc>
          <w:tcPr>
            <w:tcW w:w="5477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  <w:rPr>
                <w:lang w:eastAsia="en-GB"/>
              </w:rPr>
            </w:pPr>
            <w:r>
              <w:rPr>
                <w:lang w:eastAsia="en-GB"/>
              </w:rPr>
              <w:t>20 June 2023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1FF260FC" w:rsidR="00835FA1" w:rsidRPr="00FD7BB4" w:rsidRDefault="00CB11D1" w:rsidP="00CB11D1">
      <w:p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The boarding community</w:t>
      </w:r>
      <w:r w:rsidR="009C7FDC" w:rsidRPr="00FD7BB4">
        <w:rPr>
          <w:sz w:val="24"/>
          <w:szCs w:val="24"/>
        </w:rPr>
        <w:t xml:space="preserve"> </w:t>
      </w:r>
      <w:r w:rsidRPr="00FD7BB4">
        <w:rPr>
          <w:sz w:val="24"/>
          <w:szCs w:val="24"/>
        </w:rPr>
        <w:t>at LVS Ascot is culturally varied and diverse</w:t>
      </w:r>
      <w:r w:rsidR="009C7FDC" w:rsidRPr="00FD7BB4">
        <w:rPr>
          <w:sz w:val="24"/>
          <w:szCs w:val="24"/>
        </w:rPr>
        <w:t>. W</w:t>
      </w:r>
      <w:r w:rsidRPr="00FD7BB4">
        <w:rPr>
          <w:sz w:val="24"/>
          <w:szCs w:val="24"/>
        </w:rPr>
        <w:t xml:space="preserve">e </w:t>
      </w:r>
      <w:r w:rsidR="00E4007F" w:rsidRPr="00FD7BB4">
        <w:rPr>
          <w:sz w:val="24"/>
          <w:szCs w:val="24"/>
        </w:rPr>
        <w:t xml:space="preserve">embrace others and their </w:t>
      </w:r>
      <w:r w:rsidR="00A778AE" w:rsidRPr="00FD7BB4">
        <w:rPr>
          <w:sz w:val="24"/>
          <w:szCs w:val="24"/>
        </w:rPr>
        <w:t xml:space="preserve">values, </w:t>
      </w:r>
      <w:r w:rsidRPr="00FD7BB4">
        <w:rPr>
          <w:sz w:val="24"/>
          <w:szCs w:val="24"/>
        </w:rPr>
        <w:t>while staying true to our British values</w:t>
      </w:r>
      <w:r w:rsidR="00A778AE" w:rsidRPr="00FD7BB4">
        <w:rPr>
          <w:sz w:val="24"/>
          <w:szCs w:val="24"/>
        </w:rPr>
        <w:t>. This ensures</w:t>
      </w:r>
      <w:r w:rsidRPr="00FD7BB4">
        <w:rPr>
          <w:sz w:val="24"/>
          <w:szCs w:val="24"/>
        </w:rPr>
        <w:t xml:space="preserve"> that</w:t>
      </w:r>
      <w:r w:rsidR="00A778AE" w:rsidRPr="00FD7BB4">
        <w:rPr>
          <w:sz w:val="24"/>
          <w:szCs w:val="24"/>
        </w:rPr>
        <w:t xml:space="preserve"> </w:t>
      </w:r>
      <w:r w:rsidRPr="00FD7BB4">
        <w:rPr>
          <w:sz w:val="24"/>
          <w:szCs w:val="24"/>
        </w:rPr>
        <w:t xml:space="preserve">our school’s mission to promote resilience, </w:t>
      </w:r>
      <w:r w:rsidR="006C5BAA" w:rsidRPr="00FD7BB4">
        <w:rPr>
          <w:sz w:val="24"/>
          <w:szCs w:val="24"/>
        </w:rPr>
        <w:t>inquisitiveness,</w:t>
      </w:r>
      <w:r w:rsidRPr="00FD7BB4">
        <w:rPr>
          <w:sz w:val="24"/>
          <w:szCs w:val="24"/>
        </w:rPr>
        <w:t xml:space="preserve"> and creativity in everything that our children set out to do</w:t>
      </w:r>
      <w:r w:rsidR="00A778AE" w:rsidRPr="00FD7BB4">
        <w:rPr>
          <w:sz w:val="24"/>
          <w:szCs w:val="24"/>
        </w:rPr>
        <w:t xml:space="preserve">, gets promoted within </w:t>
      </w:r>
      <w:r w:rsidR="00572A74" w:rsidRPr="00FD7BB4">
        <w:rPr>
          <w:sz w:val="24"/>
          <w:szCs w:val="24"/>
        </w:rPr>
        <w:t>the</w:t>
      </w:r>
      <w:r w:rsidR="00A778AE" w:rsidRPr="00FD7BB4">
        <w:rPr>
          <w:sz w:val="24"/>
          <w:szCs w:val="24"/>
        </w:rPr>
        <w:t xml:space="preserve"> boarding </w:t>
      </w:r>
      <w:r w:rsidR="00461AF1" w:rsidRPr="00FD7BB4">
        <w:rPr>
          <w:sz w:val="24"/>
          <w:szCs w:val="24"/>
        </w:rPr>
        <w:t>experience</w:t>
      </w:r>
      <w:r w:rsidR="00141B65" w:rsidRPr="00FD7BB4">
        <w:rPr>
          <w:sz w:val="24"/>
          <w:szCs w:val="24"/>
        </w:rPr>
        <w:t xml:space="preserve"> that we offer.</w:t>
      </w:r>
    </w:p>
    <w:p w14:paraId="1446DFA4" w14:textId="197DDF09" w:rsidR="00CB11D1" w:rsidRPr="00FD7BB4" w:rsidRDefault="00300A60" w:rsidP="00CB11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a </w:t>
      </w:r>
      <w:r w:rsidR="00CB11D1" w:rsidRPr="00FD7BB4">
        <w:rPr>
          <w:sz w:val="24"/>
          <w:szCs w:val="24"/>
        </w:rPr>
        <w:t xml:space="preserve">significant number of UK boarders as well as our international boarders within our boarding community. Our children come from a plethora of cultural backgrounds with varying social </w:t>
      </w:r>
      <w:r w:rsidR="006C5BAA">
        <w:rPr>
          <w:sz w:val="24"/>
          <w:szCs w:val="24"/>
        </w:rPr>
        <w:t xml:space="preserve">experiences and </w:t>
      </w:r>
      <w:r w:rsidR="00CB11D1" w:rsidRPr="00FD7BB4">
        <w:rPr>
          <w:sz w:val="24"/>
          <w:szCs w:val="24"/>
        </w:rPr>
        <w:t>needs</w:t>
      </w:r>
      <w:r w:rsidR="00F35212" w:rsidRPr="00FD7BB4">
        <w:rPr>
          <w:sz w:val="24"/>
          <w:szCs w:val="24"/>
        </w:rPr>
        <w:t>. I</w:t>
      </w:r>
      <w:r w:rsidR="00CB11D1" w:rsidRPr="00FD7BB4">
        <w:rPr>
          <w:sz w:val="24"/>
          <w:szCs w:val="24"/>
        </w:rPr>
        <w:t xml:space="preserve">t is the stated aim here at LVS Ascot School to be able to treat </w:t>
      </w:r>
      <w:r w:rsidR="00AF3CB2" w:rsidRPr="00FD7BB4">
        <w:rPr>
          <w:sz w:val="24"/>
          <w:szCs w:val="24"/>
        </w:rPr>
        <w:t>all</w:t>
      </w:r>
      <w:r w:rsidR="00CB11D1" w:rsidRPr="00FD7BB4">
        <w:rPr>
          <w:sz w:val="24"/>
          <w:szCs w:val="24"/>
        </w:rPr>
        <w:t xml:space="preserve"> our boarders as individuals and to provide a</w:t>
      </w:r>
      <w:r w:rsidR="00F35212" w:rsidRPr="00FD7BB4">
        <w:rPr>
          <w:sz w:val="24"/>
          <w:szCs w:val="24"/>
        </w:rPr>
        <w:t xml:space="preserve"> positive, safe, and nurturing</w:t>
      </w:r>
      <w:r w:rsidR="00CB11D1" w:rsidRPr="00FD7BB4">
        <w:rPr>
          <w:sz w:val="24"/>
          <w:szCs w:val="24"/>
        </w:rPr>
        <w:t xml:space="preserve"> environment in which all can flourish. 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</w:rPr>
      </w:pPr>
      <w:r w:rsidRPr="00FD7BB4">
        <w:rPr>
          <w:b/>
          <w:bCs/>
          <w:sz w:val="24"/>
          <w:szCs w:val="24"/>
        </w:rPr>
        <w:t>Boarding at LVS Ascot is based on the following key principles:</w:t>
      </w:r>
    </w:p>
    <w:p w14:paraId="1446DFA7" w14:textId="01F31A20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The development of the whole person, physically, spiritually, intellectually, morally, </w:t>
      </w:r>
      <w:r w:rsidR="006C5BAA" w:rsidRPr="00FD7BB4">
        <w:rPr>
          <w:sz w:val="24"/>
          <w:szCs w:val="24"/>
        </w:rPr>
        <w:t>socially,</w:t>
      </w:r>
      <w:r w:rsidRPr="00FD7BB4">
        <w:rPr>
          <w:sz w:val="24"/>
          <w:szCs w:val="24"/>
        </w:rPr>
        <w:t xml:space="preserve"> </w:t>
      </w:r>
      <w:r w:rsidR="009277A2" w:rsidRPr="00FD7BB4">
        <w:rPr>
          <w:sz w:val="24"/>
          <w:szCs w:val="24"/>
        </w:rPr>
        <w:t>and emotionally in a conducive atmosphere of positive praise and reinforcement.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The promotion of m</w:t>
      </w:r>
      <w:r w:rsidR="009277A2" w:rsidRPr="00FD7BB4">
        <w:rPr>
          <w:sz w:val="24"/>
          <w:szCs w:val="24"/>
        </w:rPr>
        <w:t>utual respect and the right to be treated as an individual.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The right of the individual not </w:t>
      </w:r>
      <w:r w:rsidR="006413B6" w:rsidRPr="00FD7BB4">
        <w:rPr>
          <w:sz w:val="24"/>
          <w:szCs w:val="24"/>
        </w:rPr>
        <w:t xml:space="preserve">to </w:t>
      </w:r>
      <w:r w:rsidRPr="00FD7BB4">
        <w:rPr>
          <w:sz w:val="24"/>
          <w:szCs w:val="24"/>
        </w:rPr>
        <w:t>suffer any form of abuse.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An equality of opportunities provided to all, regardless of socio-economic or cultural background.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The right to privacy.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Fostering s</w:t>
      </w:r>
      <w:r w:rsidR="009277A2" w:rsidRPr="00FD7BB4">
        <w:rPr>
          <w:sz w:val="24"/>
          <w:szCs w:val="24"/>
        </w:rPr>
        <w:t>upportive links with parents and guardians.</w:t>
      </w:r>
    </w:p>
    <w:p w14:paraId="1446DFAD" w14:textId="1BA4847A" w:rsidR="009277A2" w:rsidRPr="00FD7BB4" w:rsidRDefault="009277A2" w:rsidP="009277A2">
      <w:p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In addition to addressing the physical needs and sense of security and safety, each one of our boarding houses seeks to contribute to </w:t>
      </w:r>
      <w:r w:rsidR="00300A60">
        <w:rPr>
          <w:sz w:val="24"/>
          <w:szCs w:val="24"/>
        </w:rPr>
        <w:t>their</w:t>
      </w:r>
      <w:r w:rsidRPr="00FD7BB4">
        <w:rPr>
          <w:sz w:val="24"/>
          <w:szCs w:val="24"/>
        </w:rPr>
        <w:t xml:space="preserve"> boarders’ development</w:t>
      </w:r>
      <w:r w:rsidR="00C420A5" w:rsidRPr="00FD7BB4">
        <w:rPr>
          <w:sz w:val="24"/>
          <w:szCs w:val="24"/>
        </w:rPr>
        <w:t>. This is manifested</w:t>
      </w:r>
      <w:r w:rsidRPr="00FD7BB4">
        <w:rPr>
          <w:sz w:val="24"/>
          <w:szCs w:val="24"/>
        </w:rPr>
        <w:t xml:space="preserve"> in their sense of belonging, their self-esteem, </w:t>
      </w:r>
      <w:r w:rsidR="00744A70" w:rsidRPr="00FD7BB4">
        <w:rPr>
          <w:sz w:val="24"/>
          <w:szCs w:val="24"/>
        </w:rPr>
        <w:t>self-respect,</w:t>
      </w:r>
      <w:r w:rsidRPr="00FD7BB4">
        <w:rPr>
          <w:sz w:val="24"/>
          <w:szCs w:val="24"/>
        </w:rPr>
        <w:t xml:space="preserve"> and self-realisation. House staff are and should be advocates for the boarders in their care. </w:t>
      </w:r>
    </w:p>
    <w:p w14:paraId="1446DFAE" w14:textId="5F179E9B" w:rsidR="009277A2" w:rsidRPr="00FD7BB4" w:rsidRDefault="009277A2" w:rsidP="009277A2">
      <w:p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Pupil voice is taken seriously at LVS </w:t>
      </w:r>
      <w:r w:rsidR="00744A70" w:rsidRPr="00FD7BB4">
        <w:rPr>
          <w:sz w:val="24"/>
          <w:szCs w:val="24"/>
        </w:rPr>
        <w:t>Ascot,</w:t>
      </w:r>
      <w:r w:rsidRPr="00FD7BB4">
        <w:rPr>
          <w:sz w:val="24"/>
          <w:szCs w:val="24"/>
        </w:rPr>
        <w:t xml:space="preserve"> and a full programme of boarders’ council meetings are carried out across the academic year, involving a selection of boarders from across our </w:t>
      </w:r>
      <w:r w:rsidR="00C420A5" w:rsidRPr="00FD7BB4">
        <w:rPr>
          <w:sz w:val="24"/>
          <w:szCs w:val="24"/>
        </w:rPr>
        <w:t xml:space="preserve">four </w:t>
      </w:r>
      <w:r w:rsidR="00FD7BB4" w:rsidRPr="00FD7BB4">
        <w:rPr>
          <w:sz w:val="24"/>
          <w:szCs w:val="24"/>
        </w:rPr>
        <w:t xml:space="preserve">boarding </w:t>
      </w:r>
      <w:r w:rsidRPr="00FD7BB4">
        <w:rPr>
          <w:sz w:val="24"/>
          <w:szCs w:val="24"/>
        </w:rPr>
        <w:t>houses.</w:t>
      </w:r>
      <w:r w:rsidR="004E045E">
        <w:rPr>
          <w:sz w:val="24"/>
          <w:szCs w:val="24"/>
        </w:rPr>
        <w:t xml:space="preserve"> In addition, houses promote leadership qualities through their house Prefect </w:t>
      </w:r>
      <w:r w:rsidR="009F3FDE">
        <w:rPr>
          <w:sz w:val="24"/>
          <w:szCs w:val="24"/>
        </w:rPr>
        <w:t>selection process.</w:t>
      </w:r>
    </w:p>
    <w:p w14:paraId="1446DFB0" w14:textId="77777777" w:rsidR="00F848AD" w:rsidRPr="00FD7BB4" w:rsidRDefault="00F848AD" w:rsidP="00FD7BB4">
      <w:pPr>
        <w:pStyle w:val="Heading1"/>
      </w:pPr>
      <w:r w:rsidRPr="00FD7BB4">
        <w:t>Aims &amp; Objectives of Boarding at LVS Ascot School</w:t>
      </w:r>
    </w:p>
    <w:p w14:paraId="1446DFB1" w14:textId="77777777" w:rsidR="00F848AD" w:rsidRPr="00FD7BB4" w:rsidRDefault="00F848AD" w:rsidP="009277A2">
      <w:p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The aims and objectives of each boarding house will differ in practice depending on their age range and circumstance of the house, but all will seek to:</w:t>
      </w:r>
    </w:p>
    <w:p w14:paraId="1446DFB2" w14:textId="714B4C3E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Create a safe, </w:t>
      </w:r>
      <w:r w:rsidR="003144B5" w:rsidRPr="00FD7BB4">
        <w:rPr>
          <w:sz w:val="24"/>
          <w:szCs w:val="24"/>
        </w:rPr>
        <w:t>secure,</w:t>
      </w:r>
      <w:r w:rsidRPr="00FD7BB4">
        <w:rPr>
          <w:sz w:val="24"/>
          <w:szCs w:val="24"/>
        </w:rPr>
        <w:t xml:space="preserve"> and comfortable environment for </w:t>
      </w:r>
      <w:r w:rsidR="00FD7BB4" w:rsidRPr="00FD7BB4">
        <w:rPr>
          <w:sz w:val="24"/>
          <w:szCs w:val="24"/>
        </w:rPr>
        <w:t>all</w:t>
      </w:r>
      <w:r w:rsidRPr="00FD7BB4">
        <w:rPr>
          <w:sz w:val="24"/>
          <w:szCs w:val="24"/>
        </w:rPr>
        <w:t xml:space="preserve"> our boarders.</w:t>
      </w:r>
    </w:p>
    <w:p w14:paraId="1446DFB3" w14:textId="75E91131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Provide a range of experiences, opportunities and conditions that will encourage self-development: physically, spiritually, intellectually, morally, </w:t>
      </w:r>
      <w:r w:rsidR="00CB57DB" w:rsidRPr="00FD7BB4">
        <w:rPr>
          <w:sz w:val="24"/>
          <w:szCs w:val="24"/>
        </w:rPr>
        <w:t>socially,</w:t>
      </w:r>
      <w:r w:rsidRPr="00FD7BB4">
        <w:rPr>
          <w:sz w:val="24"/>
          <w:szCs w:val="24"/>
        </w:rPr>
        <w:t xml:space="preserve"> and emotionally. </w:t>
      </w:r>
    </w:p>
    <w:p w14:paraId="1446DFB4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Develop an open and trusting ethos in which the boarders are confident that they will be treated with respect as an individual.</w:t>
      </w:r>
    </w:p>
    <w:p w14:paraId="1446DFB5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Create an atmosphere which is non-conducive to any form of bullying or would have difficulty in flourishing.</w:t>
      </w:r>
    </w:p>
    <w:p w14:paraId="1446DFB6" w14:textId="46DD8A05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Develop a sense of responsibility for self, </w:t>
      </w:r>
      <w:r w:rsidR="00FA52DC" w:rsidRPr="00FD7BB4">
        <w:rPr>
          <w:sz w:val="24"/>
          <w:szCs w:val="24"/>
        </w:rPr>
        <w:t>others,</w:t>
      </w:r>
      <w:r w:rsidRPr="00FD7BB4">
        <w:rPr>
          <w:sz w:val="24"/>
          <w:szCs w:val="24"/>
        </w:rPr>
        <w:t xml:space="preserve"> and the environment.</w:t>
      </w:r>
    </w:p>
    <w:p w14:paraId="1446DFB7" w14:textId="77043EC9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>Develop boarders’ qualities of leadership and the ability to work as part of a team</w:t>
      </w:r>
      <w:r w:rsidR="009F3FDE">
        <w:rPr>
          <w:sz w:val="24"/>
          <w:szCs w:val="24"/>
        </w:rPr>
        <w:t>.</w:t>
      </w:r>
    </w:p>
    <w:p w14:paraId="1446DFB8" w14:textId="197232D2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7BB4">
        <w:rPr>
          <w:sz w:val="24"/>
          <w:szCs w:val="24"/>
        </w:rPr>
        <w:t xml:space="preserve">Encourage </w:t>
      </w:r>
      <w:r w:rsidR="00F41358">
        <w:rPr>
          <w:sz w:val="24"/>
          <w:szCs w:val="24"/>
        </w:rPr>
        <w:t>understanding</w:t>
      </w:r>
      <w:r w:rsidRPr="00FD7BB4">
        <w:rPr>
          <w:sz w:val="24"/>
          <w:szCs w:val="24"/>
        </w:rPr>
        <w:t xml:space="preserve"> relationships between boarders, staff, </w:t>
      </w:r>
      <w:r w:rsidR="00FA52DC" w:rsidRPr="00FD7BB4">
        <w:rPr>
          <w:sz w:val="24"/>
          <w:szCs w:val="24"/>
        </w:rPr>
        <w:t>guardians,</w:t>
      </w:r>
      <w:r w:rsidRPr="00FD7BB4">
        <w:rPr>
          <w:sz w:val="24"/>
          <w:szCs w:val="24"/>
        </w:rPr>
        <w:t xml:space="preserve"> and parents.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Aims of LVS Ascot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 reflect on the past to embrace the challenge of the future.</w:t>
      </w:r>
    </w:p>
    <w:p w14:paraId="67158E86" w14:textId="62B4958C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 be resilient, inquisitive, and creative.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 be happy and healthy.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 live with empathy and integrity.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To be courageous, </w:t>
      </w:r>
      <w:r w:rsidR="00A3125F">
        <w:rPr>
          <w:sz w:val="24"/>
          <w:szCs w:val="24"/>
        </w:rPr>
        <w:t>bold,</w:t>
      </w:r>
      <w:r>
        <w:rPr>
          <w:sz w:val="24"/>
          <w:szCs w:val="24"/>
        </w:rPr>
        <w:t xml:space="preserve"> and robust in our endeavours.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31D30EE9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F2D" w14:textId="77777777" w:rsidR="00FE4B8F" w:rsidRDefault="00FE4B8F" w:rsidP="00F848AD">
      <w:pPr>
        <w:spacing w:after="0" w:line="240" w:lineRule="auto"/>
      </w:pPr>
      <w:r>
        <w:separator/>
      </w:r>
    </w:p>
  </w:endnote>
  <w:endnote w:type="continuationSeparator" w:id="0">
    <w:p w14:paraId="66D440D5" w14:textId="77777777" w:rsidR="00FE4B8F" w:rsidRDefault="00FE4B8F" w:rsidP="00F848AD">
      <w:pPr>
        <w:spacing w:after="0" w:line="240" w:lineRule="auto"/>
      </w:pPr>
      <w:r>
        <w:continuationSeparator/>
      </w:r>
    </w:p>
  </w:endnote>
  <w:endnote w:type="continuationNotice" w:id="1">
    <w:p w14:paraId="4FFE6132" w14:textId="77777777" w:rsidR="00FE4B8F" w:rsidRDefault="00FE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633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633E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66F" w14:textId="77777777" w:rsidR="00FE4B8F" w:rsidRDefault="00FE4B8F" w:rsidP="00F848AD">
      <w:pPr>
        <w:spacing w:after="0" w:line="240" w:lineRule="auto"/>
      </w:pPr>
      <w:r>
        <w:separator/>
      </w:r>
    </w:p>
  </w:footnote>
  <w:footnote w:type="continuationSeparator" w:id="0">
    <w:p w14:paraId="28B360D5" w14:textId="77777777" w:rsidR="00FE4B8F" w:rsidRDefault="00FE4B8F" w:rsidP="00F848AD">
      <w:pPr>
        <w:spacing w:after="0" w:line="240" w:lineRule="auto"/>
      </w:pPr>
      <w:r>
        <w:continuationSeparator/>
      </w:r>
    </w:p>
  </w:footnote>
  <w:footnote w:type="continuationNotice" w:id="1">
    <w:p w14:paraId="21C2D140" w14:textId="77777777" w:rsidR="00FE4B8F" w:rsidRDefault="00FE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D0237"/>
    <w:rsid w:val="004E045E"/>
    <w:rsid w:val="004E2400"/>
    <w:rsid w:val="00572A74"/>
    <w:rsid w:val="006413B6"/>
    <w:rsid w:val="006843BF"/>
    <w:rsid w:val="00686660"/>
    <w:rsid w:val="006C5BAA"/>
    <w:rsid w:val="0070600D"/>
    <w:rsid w:val="00744A70"/>
    <w:rsid w:val="00782343"/>
    <w:rsid w:val="00816DE1"/>
    <w:rsid w:val="00835FA1"/>
    <w:rsid w:val="008B245D"/>
    <w:rsid w:val="008E614C"/>
    <w:rsid w:val="0090082F"/>
    <w:rsid w:val="009277A2"/>
    <w:rsid w:val="009C7FDC"/>
    <w:rsid w:val="009F3FDE"/>
    <w:rsid w:val="009F7814"/>
    <w:rsid w:val="00A06D15"/>
    <w:rsid w:val="00A3125F"/>
    <w:rsid w:val="00A321C3"/>
    <w:rsid w:val="00A778AE"/>
    <w:rsid w:val="00AE30B7"/>
    <w:rsid w:val="00AF3CB2"/>
    <w:rsid w:val="00B35546"/>
    <w:rsid w:val="00C05DA2"/>
    <w:rsid w:val="00C420A5"/>
    <w:rsid w:val="00CB11D1"/>
    <w:rsid w:val="00CB57DB"/>
    <w:rsid w:val="00D53452"/>
    <w:rsid w:val="00D822C8"/>
    <w:rsid w:val="00DF756D"/>
    <w:rsid w:val="00E20BA1"/>
    <w:rsid w:val="00E4007F"/>
    <w:rsid w:val="00E94A54"/>
    <w:rsid w:val="00F35212"/>
    <w:rsid w:val="00F41358"/>
    <w:rsid w:val="00F6777A"/>
    <w:rsid w:val="00F848AD"/>
    <w:rsid w:val="00FA52DC"/>
    <w:rsid w:val="00FD7BB4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DF9B"/>
  <w15:chartTrackingRefBased/>
  <w15:docId w15:val="{D80674E9-9057-4C36-B745-362B5736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B6EA31-C3CE-4259-B99B-75F5D3D60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8AA96-7BC9-4157-8A3D-10E076271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6AF48-EF16-4B63-83DE-06ADD39CE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503</Words>
  <Characters>2869</Characters>
  <Application>Microsoft Office Word</Application>
  <DocSecurity>0</DocSecurity>
  <Lines>23</Lines>
  <Paragraphs>6</Paragraphs>
  <ScaleCrop>false</ScaleCrop>
  <Company>LVS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Hunt</dc:creator>
  <cp:keywords/>
  <dc:description/>
  <cp:lastModifiedBy>James Wilder</cp:lastModifiedBy>
  <cp:revision>14</cp:revision>
  <dcterms:created xsi:type="dcterms:W3CDTF">2022-06-20T09:27:00Z</dcterms:created>
  <dcterms:modified xsi:type="dcterms:W3CDTF">2022-06-23T15:59:00Z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  <property fmtid="{D5CDD505-2E9C-101B-9397-08002B2CF9AE}" pid="3" name="_dlc_DocId">
    <vt:lpwstr>VXE33QDDFXN6-2072360958-552891</vt:lpwstr>
  </property>
  <property fmtid="{D5CDD505-2E9C-101B-9397-08002B2CF9AE}" pid="4" name="_dlc_DocIdItemGuid">
    <vt:lpwstr>1b6c4502-c5ae-4958-af60-13c8a619fbae</vt:lpwstr>
  </property>
  <property fmtid="{D5CDD505-2E9C-101B-9397-08002B2CF9AE}" pid="5" name="_dlc_DocIdUrl">
    <vt:lpwstr>http://asc-sp1/sites/Ascot/_layouts/15/DocIdRedir.aspx?ID=VXE33QDDFXN6-2072360958-552891, VXE33QDDFXN6-2072360958-552891</vt:lpwstr>
  </property>
</Properties>
</file>