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780" w14:textId="77777777" w:rsidR="00C05DA2" w:rsidRPr="00C05DA2" w:rsidRDefault="00C05DA2" w:rsidP="00C05DA2">
      <w:pPr>
        <w:autoSpaceDE w:val="0"/>
        <w:autoSpaceDN w:val="0"/>
        <w:bidi/>
        <w:adjustRightInd w:val="0"/>
        <w:spacing w:after="0" w:line="240" w:lineRule="auto"/>
        <w:rPr>
          <w:rFonts w:eastAsiaTheme="minorHAnsi" w:cs="Calibri"/>
          <w:color w:val="000000"/>
          <w:sz w:val="24"/>
          <w:szCs w:val="24"/>
          <w:rtl/>
        </w:rPr>
      </w:pPr>
      <w:r>
        <w:rPr>
          <w:rFonts w:hint="cs"/>
          <w:b/>
          <w:noProof/>
          <w:sz w:val="24"/>
          <w:rtl/>
        </w:rPr>
        <w:drawing>
          <wp:anchor distT="0" distB="0" distL="114300" distR="114300" simplePos="0" relativeHeight="251658240" behindDoc="1" locked="0" layoutInCell="1" allowOverlap="1" wp14:anchorId="22E3EFF4" wp14:editId="1D792222">
            <wp:simplePos x="0" y="0"/>
            <wp:positionH relativeFrom="column">
              <wp:posOffset>0</wp:posOffset>
            </wp:positionH>
            <wp:positionV relativeFrom="paragraph">
              <wp:posOffset>0</wp:posOffset>
            </wp:positionV>
            <wp:extent cx="2099945" cy="912495"/>
            <wp:effectExtent l="0" t="0" r="0" b="1905"/>
            <wp:wrapNone/>
            <wp:docPr id="1" name="Picture 1" descr=":SUPPORTING_FILES:LVS_asco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ORTING_FILES:LVS_ascot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9945" cy="912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508"/>
      </w:tblGrid>
      <w:tr w:rsidR="00C05DA2" w:rsidRPr="00C05DA2" w14:paraId="1A01B38A" w14:textId="77777777" w:rsidTr="00A3612F">
        <w:tc>
          <w:tcPr>
            <w:tcW w:w="236" w:type="dxa"/>
          </w:tcPr>
          <w:p w14:paraId="5E7979F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754959A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092BA6B0" w14:textId="77777777" w:rsidTr="00A3612F">
        <w:tc>
          <w:tcPr>
            <w:tcW w:w="236" w:type="dxa"/>
          </w:tcPr>
          <w:p w14:paraId="4E517472"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25ED25EA" w14:textId="4BC69440" w:rsidR="00C05DA2" w:rsidRPr="00C05DA2" w:rsidRDefault="00C05DA2" w:rsidP="00C05DA2">
            <w:pPr>
              <w:autoSpaceDE w:val="0"/>
              <w:autoSpaceDN w:val="0"/>
              <w:bidi/>
              <w:adjustRightInd w:val="0"/>
              <w:spacing w:after="0" w:line="240" w:lineRule="auto"/>
              <w:jc w:val="center"/>
              <w:rPr>
                <w:rFonts w:cstheme="minorHAnsi"/>
                <w:b/>
                <w:bCs/>
                <w:color w:val="000000"/>
                <w:sz w:val="28"/>
                <w:szCs w:val="28"/>
                <w:rtl/>
              </w:rPr>
            </w:pPr>
            <w:r>
              <w:rPr>
                <w:rFonts w:hint="cs"/>
                <w:b/>
                <w:bCs/>
                <w:color w:val="000000"/>
                <w:sz w:val="28"/>
                <w:szCs w:val="28"/>
                <w:rtl/>
              </w:rPr>
              <w:t>بيان مبادئ الدراسة الداخلية وممارستها</w:t>
            </w:r>
          </w:p>
          <w:p w14:paraId="15D43616"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169F97E3" w14:textId="77777777" w:rsidTr="00A3612F">
        <w:tc>
          <w:tcPr>
            <w:tcW w:w="236" w:type="dxa"/>
          </w:tcPr>
          <w:p w14:paraId="6AA6665B"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0CB1A8A6" w14:textId="3BF982F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bl>
    <w:p w14:paraId="0392A00F"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p w14:paraId="2B130298"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tbl>
      <w:tblPr>
        <w:tblStyle w:val="TableGrid"/>
        <w:bidiVisual/>
        <w:tblW w:w="0" w:type="auto"/>
        <w:tblLook w:val="04A0" w:firstRow="1" w:lastRow="0" w:firstColumn="1" w:lastColumn="0" w:noHBand="0" w:noVBand="1"/>
      </w:tblPr>
      <w:tblGrid>
        <w:gridCol w:w="3539"/>
        <w:gridCol w:w="5477"/>
      </w:tblGrid>
      <w:tr w:rsidR="00C05DA2" w:rsidRPr="00C05DA2" w14:paraId="7AB07606" w14:textId="77777777" w:rsidTr="328ECE67">
        <w:tc>
          <w:tcPr>
            <w:tcW w:w="3539" w:type="dxa"/>
          </w:tcPr>
          <w:p w14:paraId="13573BF7" w14:textId="77777777" w:rsidR="00C05DA2" w:rsidRPr="00C05DA2" w:rsidRDefault="00C05DA2" w:rsidP="00C05DA2">
            <w:pPr>
              <w:bidi/>
              <w:spacing w:after="240" w:line="240" w:lineRule="auto"/>
              <w:rPr>
                <w:b/>
                <w:bCs/>
                <w:rtl/>
              </w:rPr>
            </w:pPr>
            <w:r>
              <w:rPr>
                <w:rFonts w:hint="cs"/>
                <w:b/>
                <w:bCs/>
                <w:rtl/>
              </w:rPr>
              <w:t>اللوائح القانونية ذات الصلة:</w:t>
            </w:r>
          </w:p>
        </w:tc>
        <w:tc>
          <w:tcPr>
            <w:tcW w:w="5477" w:type="dxa"/>
          </w:tcPr>
          <w:p w14:paraId="14A435CB" w14:textId="3EB962AD" w:rsidR="00C05DA2" w:rsidRPr="00C05DA2" w:rsidRDefault="00C05DA2" w:rsidP="00C05DA2">
            <w:pPr>
              <w:bidi/>
              <w:spacing w:after="240" w:line="240" w:lineRule="auto"/>
              <w:rPr>
                <w:bCs/>
                <w:rtl/>
              </w:rPr>
            </w:pPr>
            <w:r>
              <w:t>NMS1</w:t>
            </w:r>
          </w:p>
        </w:tc>
      </w:tr>
      <w:tr w:rsidR="00C05DA2" w:rsidRPr="00C05DA2" w14:paraId="4188AF97" w14:textId="77777777" w:rsidTr="328ECE67">
        <w:tc>
          <w:tcPr>
            <w:tcW w:w="3539" w:type="dxa"/>
          </w:tcPr>
          <w:p w14:paraId="5EACB6BE" w14:textId="77777777" w:rsidR="00C05DA2" w:rsidRPr="00C05DA2" w:rsidRDefault="00C05DA2" w:rsidP="00C05DA2">
            <w:pPr>
              <w:bidi/>
              <w:spacing w:after="240" w:line="240" w:lineRule="auto"/>
              <w:rPr>
                <w:b/>
                <w:bCs/>
                <w:rtl/>
              </w:rPr>
            </w:pPr>
            <w:r>
              <w:rPr>
                <w:rFonts w:hint="cs"/>
                <w:b/>
                <w:bCs/>
                <w:rtl/>
              </w:rPr>
              <w:t>عضو فريق الإدارة العليا المُرشَّح المسؤول عن السياسة:</w:t>
            </w:r>
          </w:p>
        </w:tc>
        <w:tc>
          <w:tcPr>
            <w:tcW w:w="5477" w:type="dxa"/>
          </w:tcPr>
          <w:p w14:paraId="22EB8CE3" w14:textId="7BDF6756" w:rsidR="00C05DA2" w:rsidRPr="00C05DA2" w:rsidRDefault="002F2F95" w:rsidP="00C05DA2">
            <w:pPr>
              <w:bidi/>
              <w:spacing w:after="240" w:line="240" w:lineRule="auto"/>
              <w:rPr>
                <w:bCs/>
                <w:rtl/>
              </w:rPr>
            </w:pPr>
            <w:r>
              <w:rPr>
                <w:rFonts w:hint="cs"/>
                <w:rtl/>
              </w:rPr>
              <w:t>جيمس وايلدر</w:t>
            </w:r>
            <w:r>
              <w:rPr>
                <w:rFonts w:hint="cs"/>
                <w:rtl/>
              </w:rPr>
              <w:br/>
              <w:t>جيمس كيرتيس-ناي</w:t>
            </w:r>
          </w:p>
        </w:tc>
      </w:tr>
      <w:tr w:rsidR="00C05DA2" w:rsidRPr="00C05DA2" w14:paraId="4E0F0221" w14:textId="77777777" w:rsidTr="328ECE67">
        <w:tc>
          <w:tcPr>
            <w:tcW w:w="3539" w:type="dxa"/>
          </w:tcPr>
          <w:p w14:paraId="33C50681" w14:textId="77777777" w:rsidR="00C05DA2" w:rsidRPr="00C05DA2" w:rsidRDefault="00C05DA2" w:rsidP="00C05DA2">
            <w:pPr>
              <w:bidi/>
              <w:spacing w:after="240" w:line="240" w:lineRule="auto"/>
              <w:rPr>
                <w:b/>
                <w:bCs/>
                <w:rtl/>
              </w:rPr>
            </w:pPr>
            <w:r>
              <w:rPr>
                <w:rFonts w:hint="cs"/>
                <w:b/>
                <w:bCs/>
                <w:rtl/>
              </w:rPr>
              <w:t>تاريخ التحديث:</w:t>
            </w:r>
          </w:p>
        </w:tc>
        <w:tc>
          <w:tcPr>
            <w:tcW w:w="5477" w:type="dxa"/>
          </w:tcPr>
          <w:p w14:paraId="289743C1" w14:textId="3FDEAE20" w:rsidR="00C05DA2" w:rsidRPr="00C05DA2" w:rsidRDefault="002F2F95" w:rsidP="328ECE67">
            <w:pPr>
              <w:bidi/>
              <w:spacing w:after="240" w:line="240" w:lineRule="auto"/>
              <w:rPr>
                <w:rtl/>
              </w:rPr>
            </w:pPr>
            <w:r>
              <w:rPr>
                <w:rFonts w:hint="cs"/>
                <w:rtl/>
              </w:rPr>
              <w:t>20 يونيو 2022</w:t>
            </w:r>
          </w:p>
        </w:tc>
      </w:tr>
      <w:tr w:rsidR="00C05DA2" w:rsidRPr="00C05DA2" w14:paraId="5B7B43C6" w14:textId="77777777" w:rsidTr="328ECE67">
        <w:tc>
          <w:tcPr>
            <w:tcW w:w="3539" w:type="dxa"/>
          </w:tcPr>
          <w:p w14:paraId="30D17C9D" w14:textId="77777777" w:rsidR="00C05DA2" w:rsidRPr="00C05DA2" w:rsidRDefault="00C05DA2" w:rsidP="00C05DA2">
            <w:pPr>
              <w:bidi/>
              <w:spacing w:after="240" w:line="240" w:lineRule="auto"/>
              <w:rPr>
                <w:b/>
                <w:bCs/>
                <w:rtl/>
              </w:rPr>
            </w:pPr>
            <w:r>
              <w:rPr>
                <w:rFonts w:hint="cs"/>
                <w:b/>
                <w:bCs/>
                <w:rtl/>
              </w:rPr>
              <w:t>تاريخ  المراجعة التالية:</w:t>
            </w:r>
          </w:p>
        </w:tc>
        <w:tc>
          <w:tcPr>
            <w:tcW w:w="5477" w:type="dxa"/>
          </w:tcPr>
          <w:p w14:paraId="6FA65798" w14:textId="0CAA9FA1" w:rsidR="00C05DA2" w:rsidRPr="00C05DA2" w:rsidRDefault="004D0237" w:rsidP="328ECE67">
            <w:pPr>
              <w:bidi/>
              <w:spacing w:after="240" w:line="240" w:lineRule="auto"/>
              <w:rPr>
                <w:rtl/>
              </w:rPr>
            </w:pPr>
            <w:r>
              <w:rPr>
                <w:rFonts w:hint="cs"/>
                <w:rtl/>
              </w:rPr>
              <w:t>20 يونيو 2023</w:t>
            </w:r>
          </w:p>
        </w:tc>
      </w:tr>
    </w:tbl>
    <w:p w14:paraId="3A5AE6F8" w14:textId="77777777" w:rsidR="00C05DA2" w:rsidRDefault="00C05DA2" w:rsidP="00CB11D1">
      <w:pPr>
        <w:jc w:val="both"/>
        <w:rPr>
          <w:sz w:val="24"/>
          <w:szCs w:val="24"/>
        </w:rPr>
      </w:pPr>
    </w:p>
    <w:p w14:paraId="1446DFA3" w14:textId="1FF260FC" w:rsidR="00835FA1" w:rsidRPr="00FD7BB4" w:rsidRDefault="00CB11D1" w:rsidP="00CB11D1">
      <w:pPr>
        <w:bidi/>
        <w:jc w:val="both"/>
        <w:rPr>
          <w:sz w:val="24"/>
          <w:szCs w:val="24"/>
          <w:rtl/>
        </w:rPr>
      </w:pPr>
      <w:r>
        <w:rPr>
          <w:rFonts w:hint="cs"/>
          <w:sz w:val="24"/>
          <w:szCs w:val="24"/>
          <w:rtl/>
        </w:rPr>
        <w:t xml:space="preserve">يتسم مجتمع الدراسة الداخلية في مدرسة </w:t>
      </w:r>
      <w:r>
        <w:rPr>
          <w:sz w:val="24"/>
          <w:szCs w:val="24"/>
        </w:rPr>
        <w:t>LVS Ascot</w:t>
      </w:r>
      <w:r>
        <w:rPr>
          <w:rFonts w:hint="cs"/>
          <w:sz w:val="24"/>
          <w:szCs w:val="24"/>
          <w:rtl/>
        </w:rPr>
        <w:t xml:space="preserve"> بالتنوع والتعدد الثقافي. وذلك لأننا نحتضن الآخرين وقيمهم، مع التزامنا في الوقت نفسه بقيمنا البريطانية. ويضمن هذا تعزيز مهمة مدرستنا المتمثلة في دعم المرونة وحُب الاستطلاع والإبداع في كل ما يشرع دارسينا الداخليين في القيام به ضمن تجربة الدراسة الداخلية التي نقدمها لهم.</w:t>
      </w:r>
    </w:p>
    <w:p w14:paraId="1446DFA4" w14:textId="197DDF09" w:rsidR="00CB11D1" w:rsidRPr="00FD7BB4" w:rsidRDefault="00300A60" w:rsidP="00CB11D1">
      <w:pPr>
        <w:bidi/>
        <w:jc w:val="both"/>
        <w:rPr>
          <w:sz w:val="24"/>
          <w:szCs w:val="24"/>
          <w:rtl/>
        </w:rPr>
      </w:pPr>
      <w:r>
        <w:rPr>
          <w:rFonts w:hint="cs"/>
          <w:sz w:val="24"/>
          <w:szCs w:val="24"/>
          <w:rtl/>
        </w:rPr>
        <w:t xml:space="preserve">يضم مجتمع الدراسة الداخلية بمدرستنا عددًا كبيرًا من كلٍ من الدارسين الداخليين من المملكة المتحدة ومن الدارسين الداخليين من جميع أنحاء العالم. ويأتي الدارسون الداخليون لدينا من عدد كبير جدًا من الخلفيات الثقافية بتجارب واحتياجات اجتماعية متنوعة. يتمثل هدفنا المُعلَن هنا في مدرسة </w:t>
      </w:r>
      <w:r>
        <w:rPr>
          <w:sz w:val="24"/>
          <w:szCs w:val="24"/>
        </w:rPr>
        <w:t>LVS Ascot</w:t>
      </w:r>
      <w:r>
        <w:rPr>
          <w:rFonts w:hint="cs"/>
          <w:sz w:val="24"/>
          <w:szCs w:val="24"/>
          <w:rtl/>
        </w:rPr>
        <w:t xml:space="preserve"> في أن نكون قادرين على التعامل مع جميع الدارسين الداخليين لدينا على أساس فردي وتوفير البيئة الإيجابية والآمنة والحاضنة التي يمكن للجميع أن يزدهر فيها.</w:t>
      </w:r>
      <w:r>
        <w:rPr>
          <w:rFonts w:hint="cs"/>
          <w:rtl/>
        </w:rPr>
        <w:t xml:space="preserve"> </w:t>
      </w:r>
    </w:p>
    <w:p w14:paraId="1446DFA5" w14:textId="77777777" w:rsidR="00CB11D1" w:rsidRPr="00FD7BB4" w:rsidRDefault="00CB11D1" w:rsidP="00CB11D1">
      <w:pPr>
        <w:bidi/>
        <w:jc w:val="both"/>
        <w:rPr>
          <w:b/>
          <w:bCs/>
          <w:sz w:val="24"/>
          <w:szCs w:val="24"/>
          <w:rtl/>
        </w:rPr>
      </w:pPr>
      <w:r>
        <w:rPr>
          <w:rFonts w:hint="cs"/>
          <w:b/>
          <w:bCs/>
          <w:sz w:val="24"/>
          <w:szCs w:val="24"/>
          <w:rtl/>
        </w:rPr>
        <w:t xml:space="preserve">تستند الدراسة الداخلية في مدرسة </w:t>
      </w:r>
      <w:r>
        <w:rPr>
          <w:b/>
          <w:bCs/>
          <w:sz w:val="24"/>
          <w:szCs w:val="24"/>
        </w:rPr>
        <w:t>LVS Ascot</w:t>
      </w:r>
      <w:r>
        <w:rPr>
          <w:rFonts w:hint="cs"/>
          <w:b/>
          <w:bCs/>
          <w:sz w:val="24"/>
          <w:szCs w:val="24"/>
          <w:rtl/>
        </w:rPr>
        <w:t xml:space="preserve"> إلى المبادئ الرئيسية التالية:</w:t>
      </w:r>
    </w:p>
    <w:p w14:paraId="1446DFA7" w14:textId="01F31A20" w:rsidR="00CB11D1" w:rsidRPr="00FD7BB4" w:rsidRDefault="00CB11D1" w:rsidP="00CB11D1">
      <w:pPr>
        <w:pStyle w:val="ListParagraph"/>
        <w:numPr>
          <w:ilvl w:val="0"/>
          <w:numId w:val="1"/>
        </w:numPr>
        <w:bidi/>
        <w:jc w:val="both"/>
        <w:rPr>
          <w:sz w:val="24"/>
          <w:szCs w:val="24"/>
          <w:rtl/>
        </w:rPr>
      </w:pPr>
      <w:r>
        <w:rPr>
          <w:rFonts w:hint="cs"/>
          <w:sz w:val="24"/>
          <w:szCs w:val="24"/>
          <w:rtl/>
        </w:rPr>
        <w:t>تنمية الشخص في كافة الجوانب، جسديًا وروحيًا وفكريًا وأخلاقيًا واجتماعيًا وعاطفيًا، في مناخ ملائم يسوده التشجيع والتعزيز الإيجابيين.</w:t>
      </w:r>
    </w:p>
    <w:p w14:paraId="1446DFA8" w14:textId="706A78F0" w:rsidR="009277A2" w:rsidRPr="00FD7BB4" w:rsidRDefault="006413B6" w:rsidP="00CB11D1">
      <w:pPr>
        <w:pStyle w:val="ListParagraph"/>
        <w:numPr>
          <w:ilvl w:val="0"/>
          <w:numId w:val="1"/>
        </w:numPr>
        <w:bidi/>
        <w:jc w:val="both"/>
        <w:rPr>
          <w:sz w:val="24"/>
          <w:szCs w:val="24"/>
          <w:rtl/>
        </w:rPr>
      </w:pPr>
      <w:r>
        <w:rPr>
          <w:rFonts w:hint="cs"/>
          <w:sz w:val="24"/>
          <w:szCs w:val="24"/>
          <w:rtl/>
        </w:rPr>
        <w:t>تعزيز الاحترام المتبادل والحق في التمتع بالمعاملة على أساس فردي.</w:t>
      </w:r>
    </w:p>
    <w:p w14:paraId="1446DFA9" w14:textId="7322A2DB" w:rsidR="009277A2" w:rsidRPr="00FD7BB4" w:rsidRDefault="009277A2" w:rsidP="00CB11D1">
      <w:pPr>
        <w:pStyle w:val="ListParagraph"/>
        <w:numPr>
          <w:ilvl w:val="0"/>
          <w:numId w:val="1"/>
        </w:numPr>
        <w:bidi/>
        <w:jc w:val="both"/>
        <w:rPr>
          <w:sz w:val="24"/>
          <w:szCs w:val="24"/>
          <w:rtl/>
        </w:rPr>
      </w:pPr>
      <w:r>
        <w:rPr>
          <w:rFonts w:hint="cs"/>
          <w:sz w:val="24"/>
          <w:szCs w:val="24"/>
          <w:rtl/>
        </w:rPr>
        <w:t>حق الفرد في عدم التعرض لأي شكل من أشكال الإساءة.</w:t>
      </w:r>
    </w:p>
    <w:p w14:paraId="1446DFAA" w14:textId="77777777" w:rsidR="009277A2" w:rsidRPr="00FD7BB4" w:rsidRDefault="009277A2" w:rsidP="009277A2">
      <w:pPr>
        <w:pStyle w:val="ListParagraph"/>
        <w:numPr>
          <w:ilvl w:val="0"/>
          <w:numId w:val="1"/>
        </w:numPr>
        <w:bidi/>
        <w:jc w:val="both"/>
        <w:rPr>
          <w:sz w:val="24"/>
          <w:szCs w:val="24"/>
          <w:rtl/>
        </w:rPr>
      </w:pPr>
      <w:r>
        <w:rPr>
          <w:rFonts w:hint="cs"/>
          <w:sz w:val="24"/>
          <w:szCs w:val="24"/>
          <w:rtl/>
        </w:rPr>
        <w:t>تكافؤ الفرص أمام الجميع، بغض النظر عن الخلفية الاجتماعية الاقتصادية أو الثقافية.</w:t>
      </w:r>
    </w:p>
    <w:p w14:paraId="1446DFAB" w14:textId="77777777" w:rsidR="009277A2" w:rsidRPr="00FD7BB4" w:rsidRDefault="009277A2" w:rsidP="009277A2">
      <w:pPr>
        <w:pStyle w:val="ListParagraph"/>
        <w:numPr>
          <w:ilvl w:val="0"/>
          <w:numId w:val="1"/>
        </w:numPr>
        <w:bidi/>
        <w:jc w:val="both"/>
        <w:rPr>
          <w:sz w:val="24"/>
          <w:szCs w:val="24"/>
          <w:rtl/>
        </w:rPr>
      </w:pPr>
      <w:r>
        <w:rPr>
          <w:rFonts w:hint="cs"/>
          <w:sz w:val="24"/>
          <w:szCs w:val="24"/>
          <w:rtl/>
        </w:rPr>
        <w:t>الحق في الخصوصية.</w:t>
      </w:r>
    </w:p>
    <w:p w14:paraId="1446DFAC" w14:textId="4701D0EC" w:rsidR="009277A2" w:rsidRPr="00FD7BB4" w:rsidRDefault="000C7A4A" w:rsidP="009277A2">
      <w:pPr>
        <w:pStyle w:val="ListParagraph"/>
        <w:numPr>
          <w:ilvl w:val="0"/>
          <w:numId w:val="1"/>
        </w:numPr>
        <w:bidi/>
        <w:jc w:val="both"/>
        <w:rPr>
          <w:sz w:val="24"/>
          <w:szCs w:val="24"/>
          <w:rtl/>
        </w:rPr>
      </w:pPr>
      <w:r>
        <w:rPr>
          <w:rFonts w:hint="cs"/>
          <w:sz w:val="24"/>
          <w:szCs w:val="24"/>
          <w:rtl/>
        </w:rPr>
        <w:t>تعزيز الروابط الداعمة مع الآباء والأوصياء.</w:t>
      </w:r>
    </w:p>
    <w:p w14:paraId="1446DFAD" w14:textId="1BA4847A" w:rsidR="009277A2" w:rsidRPr="00FD7BB4" w:rsidRDefault="009277A2" w:rsidP="009277A2">
      <w:pPr>
        <w:bidi/>
        <w:jc w:val="both"/>
        <w:rPr>
          <w:sz w:val="24"/>
          <w:szCs w:val="24"/>
          <w:rtl/>
        </w:rPr>
      </w:pPr>
      <w:r>
        <w:rPr>
          <w:rFonts w:hint="cs"/>
          <w:sz w:val="24"/>
          <w:szCs w:val="24"/>
          <w:rtl/>
        </w:rPr>
        <w:t>وبالإضافة إلى تلبية الاحتياجات المادية والشعور بالأمن والأمان، يسعى كل نُزُل من أنزال الدراسة الداخلية لدينا إلى المساهمة في تنمية هؤلاء الدارسين الداخليين. يتجلى هذا في شعور الدارسين الداخليين بالانتماء، وتقديرهم لذاتهم، واحترامهم لذاتهم، وأيضًا تحقيقهم لذاتهم. يُعد موظفو هذه الأنزال، ويجب أن يكونوا،  داعمين لهؤلاء الدارسين الداخليين المودعين في رعايتهم.</w:t>
      </w:r>
      <w:r>
        <w:rPr>
          <w:rFonts w:hint="cs"/>
          <w:rtl/>
        </w:rPr>
        <w:t xml:space="preserve"> </w:t>
      </w:r>
    </w:p>
    <w:p w14:paraId="1446DFAE" w14:textId="5F179E9B" w:rsidR="009277A2" w:rsidRPr="00FD7BB4" w:rsidRDefault="009277A2" w:rsidP="009277A2">
      <w:pPr>
        <w:bidi/>
        <w:jc w:val="both"/>
        <w:rPr>
          <w:sz w:val="24"/>
          <w:szCs w:val="24"/>
          <w:rtl/>
        </w:rPr>
      </w:pPr>
      <w:r>
        <w:rPr>
          <w:rFonts w:hint="cs"/>
          <w:sz w:val="24"/>
          <w:szCs w:val="24"/>
          <w:rtl/>
        </w:rPr>
        <w:t xml:space="preserve">يتم الإصغاء إلى صوت الدارسين الداخليين في مدارس </w:t>
      </w:r>
      <w:r>
        <w:rPr>
          <w:sz w:val="24"/>
          <w:szCs w:val="24"/>
        </w:rPr>
        <w:t>LVS Ascot</w:t>
      </w:r>
      <w:r>
        <w:rPr>
          <w:rFonts w:hint="cs"/>
          <w:sz w:val="24"/>
          <w:szCs w:val="24"/>
          <w:rtl/>
        </w:rPr>
        <w:t xml:space="preserve"> بكل جدية واهتمام، كما يتم تنفيذ برنامج كامل لاجتماعات مجلس الدارسين الداخليين على مدار العام الدراسي، والذي يضم مجموعة مختارة من الدارسين الداخليين من جميع أنزال الدراسة الداخلية الأربعة لدينا. بالإضافة إلى ذلك، تعمل الأنزال على تعزيز الصفات القيادية لدى الدارسين الداخليين من خلال عملية اختيار مراقب النُزُل.</w:t>
      </w:r>
    </w:p>
    <w:p w14:paraId="1446DFB0" w14:textId="77777777" w:rsidR="00F848AD" w:rsidRPr="00FD7BB4" w:rsidRDefault="00F848AD" w:rsidP="00FD7BB4">
      <w:pPr>
        <w:pStyle w:val="Heading1"/>
        <w:bidi/>
        <w:rPr>
          <w:rtl/>
        </w:rPr>
      </w:pPr>
      <w:r>
        <w:rPr>
          <w:rFonts w:hint="cs"/>
          <w:rtl/>
        </w:rPr>
        <w:lastRenderedPageBreak/>
        <w:t xml:space="preserve">الأهداف والغايات المرجوة من الدراسة الداخلية في مدرسة </w:t>
      </w:r>
      <w:r>
        <w:t>LVS Ascot</w:t>
      </w:r>
    </w:p>
    <w:p w14:paraId="1446DFB1" w14:textId="77777777" w:rsidR="00F848AD" w:rsidRPr="00FD7BB4" w:rsidRDefault="00F848AD" w:rsidP="009277A2">
      <w:pPr>
        <w:bidi/>
        <w:jc w:val="both"/>
        <w:rPr>
          <w:sz w:val="24"/>
          <w:szCs w:val="24"/>
          <w:rtl/>
        </w:rPr>
      </w:pPr>
      <w:r>
        <w:rPr>
          <w:rFonts w:hint="cs"/>
          <w:sz w:val="24"/>
          <w:szCs w:val="24"/>
          <w:rtl/>
        </w:rPr>
        <w:t>تختلف أهداف كل نُزُل دراسة داخلية وغاياته عمليًا استنادًا إلى الفئة العمرية التي يخدمها وظروف نُزُل الدراسة الداخلية ذلك، ولكن جميع أنزال الدراسة الداخلية لدينا ستسعى إلى تحقيق ما يلي:</w:t>
      </w:r>
    </w:p>
    <w:p w14:paraId="1446DFB2" w14:textId="714B4C3E" w:rsidR="00F848AD" w:rsidRPr="00FD7BB4" w:rsidRDefault="00F848AD" w:rsidP="00F848AD">
      <w:pPr>
        <w:pStyle w:val="ListParagraph"/>
        <w:numPr>
          <w:ilvl w:val="0"/>
          <w:numId w:val="1"/>
        </w:numPr>
        <w:bidi/>
        <w:jc w:val="both"/>
        <w:rPr>
          <w:sz w:val="24"/>
          <w:szCs w:val="24"/>
          <w:rtl/>
        </w:rPr>
      </w:pPr>
      <w:r>
        <w:rPr>
          <w:rFonts w:hint="cs"/>
          <w:sz w:val="24"/>
          <w:szCs w:val="24"/>
          <w:rtl/>
        </w:rPr>
        <w:t>توفير بيئة آمنة ومأمونة ومريحة لجميع الدارسين الداخليين لدينا.</w:t>
      </w:r>
    </w:p>
    <w:p w14:paraId="1446DFB3" w14:textId="75E91131" w:rsidR="00F848AD" w:rsidRPr="00FD7BB4" w:rsidRDefault="00F848AD" w:rsidP="00F848AD">
      <w:pPr>
        <w:pStyle w:val="ListParagraph"/>
        <w:numPr>
          <w:ilvl w:val="0"/>
          <w:numId w:val="1"/>
        </w:numPr>
        <w:bidi/>
        <w:jc w:val="both"/>
        <w:rPr>
          <w:sz w:val="24"/>
          <w:szCs w:val="24"/>
          <w:rtl/>
        </w:rPr>
      </w:pPr>
      <w:r>
        <w:rPr>
          <w:rFonts w:hint="cs"/>
          <w:sz w:val="24"/>
          <w:szCs w:val="24"/>
          <w:rtl/>
        </w:rPr>
        <w:t>توفير مجموعة من الخبرات والفرص والظروف التي من شأنها التشجيع على تطوير الذات: جسديًا وروحيًا وفكريًا وأخلاقيًا واجتماعيًا وعاطفيًا.</w:t>
      </w:r>
      <w:r>
        <w:rPr>
          <w:rFonts w:hint="cs"/>
          <w:rtl/>
        </w:rPr>
        <w:t xml:space="preserve"> </w:t>
      </w:r>
    </w:p>
    <w:p w14:paraId="1446DFB4" w14:textId="77777777" w:rsidR="00F848AD" w:rsidRPr="00FD7BB4" w:rsidRDefault="00F848AD" w:rsidP="00F848AD">
      <w:pPr>
        <w:pStyle w:val="ListParagraph"/>
        <w:numPr>
          <w:ilvl w:val="0"/>
          <w:numId w:val="1"/>
        </w:numPr>
        <w:bidi/>
        <w:jc w:val="both"/>
        <w:rPr>
          <w:sz w:val="24"/>
          <w:szCs w:val="24"/>
          <w:rtl/>
        </w:rPr>
      </w:pPr>
      <w:r>
        <w:rPr>
          <w:rFonts w:hint="cs"/>
          <w:sz w:val="24"/>
          <w:szCs w:val="24"/>
          <w:rtl/>
        </w:rPr>
        <w:t>إيجاد مناخ يتسم بالانفتاح والموثوقية يشعر فيه الدارسون الداخليون بالثقة من أنهم سيُعاملون باحترام على أساس فردي.</w:t>
      </w:r>
    </w:p>
    <w:p w14:paraId="1446DFB5" w14:textId="77777777" w:rsidR="00F848AD" w:rsidRPr="00FD7BB4" w:rsidRDefault="00F848AD" w:rsidP="00F848AD">
      <w:pPr>
        <w:pStyle w:val="ListParagraph"/>
        <w:numPr>
          <w:ilvl w:val="0"/>
          <w:numId w:val="1"/>
        </w:numPr>
        <w:bidi/>
        <w:jc w:val="both"/>
        <w:rPr>
          <w:sz w:val="24"/>
          <w:szCs w:val="24"/>
          <w:rtl/>
        </w:rPr>
      </w:pPr>
      <w:r>
        <w:rPr>
          <w:rFonts w:hint="cs"/>
          <w:sz w:val="24"/>
          <w:szCs w:val="24"/>
          <w:rtl/>
        </w:rPr>
        <w:t>توفير أجواء لا تُفضي إلى أي شكل من أشكال التنمر أو يصعب حدوث مثل هذه الأمور فيها.</w:t>
      </w:r>
    </w:p>
    <w:p w14:paraId="1446DFB6" w14:textId="46DD8A05" w:rsidR="00F848AD" w:rsidRPr="00FD7BB4" w:rsidRDefault="00F848AD" w:rsidP="00F848AD">
      <w:pPr>
        <w:pStyle w:val="ListParagraph"/>
        <w:numPr>
          <w:ilvl w:val="0"/>
          <w:numId w:val="1"/>
        </w:numPr>
        <w:bidi/>
        <w:jc w:val="both"/>
        <w:rPr>
          <w:sz w:val="24"/>
          <w:szCs w:val="24"/>
          <w:rtl/>
        </w:rPr>
      </w:pPr>
      <w:r>
        <w:rPr>
          <w:rFonts w:hint="cs"/>
          <w:sz w:val="24"/>
          <w:szCs w:val="24"/>
          <w:rtl/>
        </w:rPr>
        <w:t>تنمية الشعور بالمسؤولية تجاه الذات والآخرين والبيئة.</w:t>
      </w:r>
    </w:p>
    <w:p w14:paraId="1446DFB7" w14:textId="77043EC9" w:rsidR="00F848AD" w:rsidRPr="00FD7BB4" w:rsidRDefault="00F848AD" w:rsidP="00F848AD">
      <w:pPr>
        <w:pStyle w:val="ListParagraph"/>
        <w:numPr>
          <w:ilvl w:val="0"/>
          <w:numId w:val="1"/>
        </w:numPr>
        <w:bidi/>
        <w:jc w:val="both"/>
        <w:rPr>
          <w:sz w:val="24"/>
          <w:szCs w:val="24"/>
          <w:rtl/>
        </w:rPr>
      </w:pPr>
      <w:r>
        <w:rPr>
          <w:rFonts w:hint="cs"/>
          <w:sz w:val="24"/>
          <w:szCs w:val="24"/>
          <w:rtl/>
        </w:rPr>
        <w:t>تنمية صفات القيادة والقدرة على العمل كجزء من فريق.</w:t>
      </w:r>
    </w:p>
    <w:p w14:paraId="1446DFB8" w14:textId="197232D2" w:rsidR="00F848AD" w:rsidRPr="00FD7BB4" w:rsidRDefault="00F848AD" w:rsidP="00F848AD">
      <w:pPr>
        <w:pStyle w:val="ListParagraph"/>
        <w:numPr>
          <w:ilvl w:val="0"/>
          <w:numId w:val="1"/>
        </w:numPr>
        <w:bidi/>
        <w:jc w:val="both"/>
        <w:rPr>
          <w:sz w:val="24"/>
          <w:szCs w:val="24"/>
          <w:rtl/>
        </w:rPr>
      </w:pPr>
      <w:r>
        <w:rPr>
          <w:rFonts w:hint="cs"/>
          <w:sz w:val="24"/>
          <w:szCs w:val="24"/>
          <w:rtl/>
        </w:rPr>
        <w:t>التشجيع على فهم العلاقات بين الدارسين الداخليين والموظفين والأوصياء والآباء.</w:t>
      </w:r>
    </w:p>
    <w:p w14:paraId="1446DFB9" w14:textId="77777777" w:rsidR="00F848AD" w:rsidRDefault="00F848AD" w:rsidP="00F848AD">
      <w:pPr>
        <w:jc w:val="both"/>
        <w:rPr>
          <w:sz w:val="24"/>
          <w:szCs w:val="24"/>
        </w:rPr>
      </w:pPr>
    </w:p>
    <w:p w14:paraId="63703330" w14:textId="75CB07BC" w:rsidR="000A0C14" w:rsidRDefault="001E2918" w:rsidP="00F848AD">
      <w:pPr>
        <w:bidi/>
        <w:jc w:val="both"/>
        <w:rPr>
          <w:b/>
          <w:bCs/>
          <w:sz w:val="24"/>
          <w:szCs w:val="24"/>
          <w:u w:val="single"/>
          <w:rtl/>
        </w:rPr>
      </w:pPr>
      <w:r>
        <w:rPr>
          <w:rFonts w:hint="cs"/>
          <w:b/>
          <w:bCs/>
          <w:sz w:val="24"/>
          <w:szCs w:val="24"/>
          <w:u w:val="single"/>
          <w:rtl/>
        </w:rPr>
        <w:t xml:space="preserve">أهداف مدرسة </w:t>
      </w:r>
      <w:r>
        <w:rPr>
          <w:b/>
          <w:bCs/>
          <w:sz w:val="24"/>
          <w:szCs w:val="24"/>
          <w:u w:val="single"/>
        </w:rPr>
        <w:t>LVS Ascot</w:t>
      </w:r>
    </w:p>
    <w:p w14:paraId="2DA98CD6" w14:textId="1C7D2FD2" w:rsidR="001E2918" w:rsidRPr="001E2918" w:rsidRDefault="001E2918" w:rsidP="001E2918">
      <w:pPr>
        <w:pStyle w:val="ListParagraph"/>
        <w:numPr>
          <w:ilvl w:val="0"/>
          <w:numId w:val="2"/>
        </w:numPr>
        <w:bidi/>
        <w:jc w:val="both"/>
        <w:rPr>
          <w:b/>
          <w:bCs/>
          <w:sz w:val="24"/>
          <w:szCs w:val="24"/>
          <w:u w:val="single"/>
          <w:rtl/>
        </w:rPr>
      </w:pPr>
      <w:r>
        <w:rPr>
          <w:rFonts w:hint="cs"/>
          <w:sz w:val="24"/>
          <w:szCs w:val="24"/>
          <w:rtl/>
        </w:rPr>
        <w:t>التأمل في الماضي للتعامل مع تحديات المستقبل.</w:t>
      </w:r>
    </w:p>
    <w:p w14:paraId="67158E86" w14:textId="62B4958C" w:rsidR="001E2918" w:rsidRPr="001E2918" w:rsidRDefault="001E2918" w:rsidP="001E2918">
      <w:pPr>
        <w:pStyle w:val="ListParagraph"/>
        <w:numPr>
          <w:ilvl w:val="0"/>
          <w:numId w:val="2"/>
        </w:numPr>
        <w:bidi/>
        <w:jc w:val="both"/>
        <w:rPr>
          <w:b/>
          <w:bCs/>
          <w:sz w:val="24"/>
          <w:szCs w:val="24"/>
          <w:u w:val="single"/>
          <w:rtl/>
        </w:rPr>
      </w:pPr>
      <w:r>
        <w:rPr>
          <w:rFonts w:hint="cs"/>
          <w:sz w:val="24"/>
          <w:szCs w:val="24"/>
          <w:rtl/>
        </w:rPr>
        <w:t>الاتسام بالمرونة وحُب الاستطلاع والإبداع.</w:t>
      </w:r>
    </w:p>
    <w:p w14:paraId="79DDD601" w14:textId="048735DE" w:rsidR="001E2918" w:rsidRPr="00E20BA1" w:rsidRDefault="00E20BA1" w:rsidP="001E2918">
      <w:pPr>
        <w:pStyle w:val="ListParagraph"/>
        <w:numPr>
          <w:ilvl w:val="0"/>
          <w:numId w:val="2"/>
        </w:numPr>
        <w:bidi/>
        <w:jc w:val="both"/>
        <w:rPr>
          <w:b/>
          <w:bCs/>
          <w:sz w:val="24"/>
          <w:szCs w:val="24"/>
          <w:u w:val="single"/>
          <w:rtl/>
        </w:rPr>
      </w:pPr>
      <w:r>
        <w:rPr>
          <w:rFonts w:hint="cs"/>
          <w:sz w:val="24"/>
          <w:szCs w:val="24"/>
          <w:rtl/>
        </w:rPr>
        <w:t>التمتع بالسعادة والصحة</w:t>
      </w:r>
    </w:p>
    <w:p w14:paraId="393A4E29" w14:textId="65DB3C3F" w:rsidR="00E20BA1" w:rsidRPr="00E20BA1" w:rsidRDefault="00E20BA1" w:rsidP="001E2918">
      <w:pPr>
        <w:pStyle w:val="ListParagraph"/>
        <w:numPr>
          <w:ilvl w:val="0"/>
          <w:numId w:val="2"/>
        </w:numPr>
        <w:bidi/>
        <w:jc w:val="both"/>
        <w:rPr>
          <w:b/>
          <w:bCs/>
          <w:sz w:val="24"/>
          <w:szCs w:val="24"/>
          <w:u w:val="single"/>
          <w:rtl/>
        </w:rPr>
      </w:pPr>
      <w:r>
        <w:rPr>
          <w:rFonts w:hint="cs"/>
          <w:sz w:val="24"/>
          <w:szCs w:val="24"/>
          <w:rtl/>
        </w:rPr>
        <w:t>الاتسام بالتعاطف والنزاهة.</w:t>
      </w:r>
    </w:p>
    <w:p w14:paraId="5B0A5F77" w14:textId="5AD385F4" w:rsidR="00E20BA1" w:rsidRPr="001E2918" w:rsidRDefault="00E20BA1" w:rsidP="001E2918">
      <w:pPr>
        <w:pStyle w:val="ListParagraph"/>
        <w:numPr>
          <w:ilvl w:val="0"/>
          <w:numId w:val="2"/>
        </w:numPr>
        <w:bidi/>
        <w:jc w:val="both"/>
        <w:rPr>
          <w:b/>
          <w:bCs/>
          <w:sz w:val="24"/>
          <w:szCs w:val="24"/>
          <w:u w:val="single"/>
          <w:rtl/>
        </w:rPr>
      </w:pPr>
      <w:r>
        <w:rPr>
          <w:rFonts w:hint="cs"/>
          <w:sz w:val="24"/>
          <w:szCs w:val="24"/>
          <w:rtl/>
        </w:rPr>
        <w:t>الاتسام بالشجاعة والجرأة والقوة في مساعينا.</w:t>
      </w:r>
    </w:p>
    <w:p w14:paraId="07EA5A43" w14:textId="77777777" w:rsidR="00A3125F" w:rsidRDefault="00A3125F" w:rsidP="00D53452">
      <w:pPr>
        <w:jc w:val="both"/>
        <w:rPr>
          <w:sz w:val="24"/>
          <w:szCs w:val="24"/>
        </w:rPr>
      </w:pPr>
    </w:p>
    <w:p w14:paraId="31D30EE9" w14:textId="77777777" w:rsidR="00A3125F" w:rsidRDefault="00A3125F" w:rsidP="00D53452">
      <w:pPr>
        <w:jc w:val="both"/>
        <w:rPr>
          <w:sz w:val="24"/>
          <w:szCs w:val="24"/>
        </w:rPr>
      </w:pPr>
    </w:p>
    <w:p w14:paraId="1446DFBD" w14:textId="449561BB" w:rsidR="00D53452" w:rsidRPr="00D53452" w:rsidRDefault="00C05DA2" w:rsidP="00D53452">
      <w:pPr>
        <w:bidi/>
        <w:jc w:val="both"/>
        <w:rPr>
          <w:sz w:val="24"/>
          <w:szCs w:val="24"/>
          <w:rtl/>
        </w:rPr>
      </w:pPr>
      <w:r>
        <w:rPr>
          <w:rFonts w:hint="cs"/>
          <w:noProof/>
          <w:rtl/>
        </w:rPr>
        <w:drawing>
          <wp:anchor distT="0" distB="0" distL="114300" distR="114300" simplePos="0" relativeHeight="251658241" behindDoc="1" locked="0" layoutInCell="1" allowOverlap="1" wp14:anchorId="66512A04" wp14:editId="28BD13DF">
            <wp:simplePos x="0" y="0"/>
            <wp:positionH relativeFrom="margin">
              <wp:posOffset>1161415</wp:posOffset>
            </wp:positionH>
            <wp:positionV relativeFrom="paragraph">
              <wp:posOffset>301625</wp:posOffset>
            </wp:positionV>
            <wp:extent cx="3602990" cy="948690"/>
            <wp:effectExtent l="0" t="0" r="0" b="3810"/>
            <wp:wrapTight wrapText="bothSides">
              <wp:wrapPolygon edited="0">
                <wp:start x="0" y="0"/>
                <wp:lineTo x="0" y="21253"/>
                <wp:lineTo x="21471" y="2125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6DFBE" w14:textId="77777777" w:rsidR="009277A2" w:rsidRPr="00D53452" w:rsidRDefault="009277A2" w:rsidP="009277A2">
      <w:pPr>
        <w:jc w:val="both"/>
        <w:rPr>
          <w:sz w:val="24"/>
          <w:szCs w:val="24"/>
        </w:rPr>
      </w:pPr>
    </w:p>
    <w:p w14:paraId="1446DFBF" w14:textId="77777777" w:rsidR="009277A2" w:rsidRPr="00D53452" w:rsidRDefault="009277A2" w:rsidP="009277A2">
      <w:pPr>
        <w:jc w:val="both"/>
        <w:rPr>
          <w:sz w:val="24"/>
          <w:szCs w:val="24"/>
        </w:rPr>
      </w:pPr>
    </w:p>
    <w:p w14:paraId="1446DFC0" w14:textId="77777777" w:rsidR="009277A2" w:rsidRPr="00D53452" w:rsidRDefault="009277A2" w:rsidP="009277A2">
      <w:pPr>
        <w:jc w:val="both"/>
        <w:rPr>
          <w:sz w:val="24"/>
          <w:szCs w:val="24"/>
        </w:rPr>
      </w:pPr>
    </w:p>
    <w:p w14:paraId="1446DFC1" w14:textId="77777777" w:rsidR="009277A2" w:rsidRPr="00D53452" w:rsidRDefault="009277A2" w:rsidP="009277A2">
      <w:pPr>
        <w:jc w:val="both"/>
        <w:rPr>
          <w:sz w:val="24"/>
          <w:szCs w:val="24"/>
        </w:rPr>
      </w:pPr>
    </w:p>
    <w:sectPr w:rsidR="009277A2" w:rsidRPr="00D53452" w:rsidSect="006866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6F2D" w14:textId="77777777" w:rsidR="00FE4B8F" w:rsidRDefault="00FE4B8F" w:rsidP="00F848AD">
      <w:pPr>
        <w:spacing w:after="0" w:line="240" w:lineRule="auto"/>
      </w:pPr>
      <w:r>
        <w:separator/>
      </w:r>
    </w:p>
  </w:endnote>
  <w:endnote w:type="continuationSeparator" w:id="0">
    <w:p w14:paraId="66D440D5" w14:textId="77777777" w:rsidR="00FE4B8F" w:rsidRDefault="00FE4B8F" w:rsidP="00F848AD">
      <w:pPr>
        <w:spacing w:after="0" w:line="240" w:lineRule="auto"/>
      </w:pPr>
      <w:r>
        <w:continuationSeparator/>
      </w:r>
    </w:p>
  </w:endnote>
  <w:endnote w:type="continuationNotice" w:id="1">
    <w:p w14:paraId="4FFE6132" w14:textId="77777777" w:rsidR="00FE4B8F" w:rsidRDefault="00FE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FCA" w14:textId="048B4713" w:rsidR="006843BF" w:rsidRDefault="006843BF">
    <w:pPr>
      <w:pStyle w:val="Footer"/>
      <w:bidi/>
      <w:jc w:val="right"/>
      <w:rPr>
        <w:rtl/>
      </w:rPr>
    </w:pPr>
    <w:r>
      <w:rPr>
        <w:rFonts w:hint="cs"/>
        <w:rtl/>
      </w:rPr>
      <w:t xml:space="preserve">صفحة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0633EC">
      <w:rPr>
        <w:rFonts w:hint="cs"/>
        <w:b/>
        <w:rtl/>
      </w:rPr>
      <w:t>1</w:t>
    </w:r>
    <w:r>
      <w:rPr>
        <w:rFonts w:hint="cs"/>
        <w:b/>
        <w:sz w:val="24"/>
        <w:rtl/>
      </w:rPr>
      <w:fldChar w:fldCharType="end"/>
    </w:r>
    <w:r>
      <w:rPr>
        <w:rFonts w:hint="cs"/>
        <w:rtl/>
      </w:rPr>
      <w:t xml:space="preserve"> من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0633EC">
      <w:rPr>
        <w:rFonts w:hint="cs"/>
        <w:b/>
        <w:rtl/>
      </w:rPr>
      <w:t>2</w:t>
    </w:r>
    <w:r>
      <w:rPr>
        <w:rFonts w:hint="cs"/>
        <w:b/>
        <w:sz w:val="24"/>
        <w:rtl/>
      </w:rPr>
      <w:fldChar w:fldCharType="end"/>
    </w:r>
  </w:p>
  <w:p w14:paraId="1446DFCB" w14:textId="77777777" w:rsidR="006843BF" w:rsidRDefault="006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866F" w14:textId="77777777" w:rsidR="00FE4B8F" w:rsidRDefault="00FE4B8F" w:rsidP="00F848AD">
      <w:pPr>
        <w:spacing w:after="0" w:line="240" w:lineRule="auto"/>
      </w:pPr>
      <w:r>
        <w:separator/>
      </w:r>
    </w:p>
  </w:footnote>
  <w:footnote w:type="continuationSeparator" w:id="0">
    <w:p w14:paraId="28B360D5" w14:textId="77777777" w:rsidR="00FE4B8F" w:rsidRDefault="00FE4B8F" w:rsidP="00F848AD">
      <w:pPr>
        <w:spacing w:after="0" w:line="240" w:lineRule="auto"/>
      </w:pPr>
      <w:r>
        <w:continuationSeparator/>
      </w:r>
    </w:p>
  </w:footnote>
  <w:footnote w:type="continuationNotice" w:id="1">
    <w:p w14:paraId="21C2D140" w14:textId="77777777" w:rsidR="00FE4B8F" w:rsidRDefault="00FE4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1E8C"/>
    <w:multiLevelType w:val="hybridMultilevel"/>
    <w:tmpl w:val="279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44FB2"/>
    <w:multiLevelType w:val="hybridMultilevel"/>
    <w:tmpl w:val="FF200C72"/>
    <w:lvl w:ilvl="0" w:tplc="71BCB0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E1"/>
    <w:rsid w:val="000633EC"/>
    <w:rsid w:val="00075020"/>
    <w:rsid w:val="000A0C14"/>
    <w:rsid w:val="000C7A4A"/>
    <w:rsid w:val="000D3850"/>
    <w:rsid w:val="000E6E93"/>
    <w:rsid w:val="00141B65"/>
    <w:rsid w:val="001E2918"/>
    <w:rsid w:val="00200036"/>
    <w:rsid w:val="00267A9E"/>
    <w:rsid w:val="002E3B14"/>
    <w:rsid w:val="002F2F95"/>
    <w:rsid w:val="00300A60"/>
    <w:rsid w:val="003144B5"/>
    <w:rsid w:val="00353CE3"/>
    <w:rsid w:val="00365EFB"/>
    <w:rsid w:val="003675A8"/>
    <w:rsid w:val="003D3C58"/>
    <w:rsid w:val="003F5958"/>
    <w:rsid w:val="00461AF1"/>
    <w:rsid w:val="004D0237"/>
    <w:rsid w:val="004E045E"/>
    <w:rsid w:val="004E2400"/>
    <w:rsid w:val="00572A74"/>
    <w:rsid w:val="006413B6"/>
    <w:rsid w:val="006843BF"/>
    <w:rsid w:val="00686660"/>
    <w:rsid w:val="006C5BAA"/>
    <w:rsid w:val="0070600D"/>
    <w:rsid w:val="00744A70"/>
    <w:rsid w:val="00782343"/>
    <w:rsid w:val="00816DE1"/>
    <w:rsid w:val="00835FA1"/>
    <w:rsid w:val="008B245D"/>
    <w:rsid w:val="008E614C"/>
    <w:rsid w:val="0090082F"/>
    <w:rsid w:val="009277A2"/>
    <w:rsid w:val="009C7FDC"/>
    <w:rsid w:val="009F3FDE"/>
    <w:rsid w:val="009F7814"/>
    <w:rsid w:val="00A06D15"/>
    <w:rsid w:val="00A3125F"/>
    <w:rsid w:val="00A321C3"/>
    <w:rsid w:val="00A3612F"/>
    <w:rsid w:val="00A778AE"/>
    <w:rsid w:val="00AE30B7"/>
    <w:rsid w:val="00AF3CB2"/>
    <w:rsid w:val="00B35546"/>
    <w:rsid w:val="00C05DA2"/>
    <w:rsid w:val="00C420A5"/>
    <w:rsid w:val="00CB11D1"/>
    <w:rsid w:val="00CB57DB"/>
    <w:rsid w:val="00D53452"/>
    <w:rsid w:val="00D822C8"/>
    <w:rsid w:val="00DF756D"/>
    <w:rsid w:val="00E20BA1"/>
    <w:rsid w:val="00E4007F"/>
    <w:rsid w:val="00E94A54"/>
    <w:rsid w:val="00F35212"/>
    <w:rsid w:val="00F41358"/>
    <w:rsid w:val="00F6777A"/>
    <w:rsid w:val="00F848AD"/>
    <w:rsid w:val="00FA52DC"/>
    <w:rsid w:val="00FD7BB4"/>
    <w:rsid w:val="00FE3B4A"/>
    <w:rsid w:val="00FE4B8F"/>
    <w:rsid w:val="28ED93E3"/>
    <w:rsid w:val="328ECE67"/>
    <w:rsid w:val="58E6E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D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60"/>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FD7BB4"/>
    <w:pPr>
      <w:keepNext/>
      <w:keepLines/>
      <w:spacing w:after="120"/>
      <w:outlineLvl w:val="0"/>
    </w:pPr>
    <w:rPr>
      <w:rFonts w:eastAsiaTheme="majorEastAsia" w:cstheme="majorBidi"/>
      <w:b/>
      <w:b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1"/>
    <w:pPr>
      <w:ind w:left="720"/>
      <w:contextualSpacing/>
    </w:pPr>
  </w:style>
  <w:style w:type="paragraph" w:styleId="Header">
    <w:name w:val="header"/>
    <w:basedOn w:val="Normal"/>
    <w:link w:val="HeaderChar"/>
    <w:uiPriority w:val="99"/>
    <w:unhideWhenUsed/>
    <w:rsid w:val="00F8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AD"/>
  </w:style>
  <w:style w:type="paragraph" w:styleId="Footer">
    <w:name w:val="footer"/>
    <w:basedOn w:val="Normal"/>
    <w:link w:val="FooterChar"/>
    <w:uiPriority w:val="99"/>
    <w:unhideWhenUsed/>
    <w:rsid w:val="00F8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AD"/>
  </w:style>
  <w:style w:type="table" w:styleId="TableGrid">
    <w:name w:val="Table Grid"/>
    <w:basedOn w:val="TableNormal"/>
    <w:uiPriority w:val="39"/>
    <w:rsid w:val="00C05DA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BB4"/>
    <w:rPr>
      <w:rFonts w:eastAsiaTheme="majorEastAsia" w:cstheme="majorBidi"/>
      <w:b/>
      <w:bCs/>
      <w:color w:val="000000" w:themeColor="text1"/>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Z:\LTC_Organisation\Shared_Working_Area\School%20Marketing\Ascot\Letterhead\Brand%20refresh%20Headed%20paper\FILES_TO_KIM\WORD_DOC\:SUPPORTING_FILES:LVS_ascot_logo.jp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B04A34630D14B88C381430438A146" ma:contentTypeVersion="17" ma:contentTypeDescription="Create a new document." ma:contentTypeScope="" ma:versionID="cf9d58f084279038e98124eaac6c0f0e">
  <xsd:schema xmlns:xsd="http://www.w3.org/2001/XMLSchema" xmlns:xs="http://www.w3.org/2001/XMLSchema" xmlns:p="http://schemas.microsoft.com/office/2006/metadata/properties" xmlns:ns2="54655a8d-d106-4c07-962d-a37de3849597" xmlns:ns3="da8bd1a2-eb1f-4635-a26d-ad9e1cb32c01" targetNamespace="http://schemas.microsoft.com/office/2006/metadata/properties" ma:root="true" ma:fieldsID="68acdad810430b9a902c89d056fe8e68" ns2:_="" ns3:_="">
    <xsd:import namespace="54655a8d-d106-4c07-962d-a37de3849597"/>
    <xsd:import namespace="da8bd1a2-eb1f-4635-a26d-ad9e1cb32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5a8d-d106-4c07-962d-a37de3849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f99c3a-37a8-4b59-b341-0784bab77a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d1a2-eb1f-4635-a26d-ad9e1cb32c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c2398b-22a0-400b-b3ad-5bb79a512598}" ma:internalName="TaxCatchAll" ma:showField="CatchAllData" ma:web="da8bd1a2-eb1f-4635-a26d-ad9e1cb3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8bd1a2-eb1f-4635-a26d-ad9e1cb32c01" xsi:nil="true"/>
    <lcf76f155ced4ddcb4097134ff3c332f xmlns="54655a8d-d106-4c07-962d-a37de3849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6C909-B1D8-4CD9-949B-5A373BA373D5}">
  <ds:schemaRefs>
    <ds:schemaRef ds:uri="http://schemas.microsoft.com/office/2006/metadata/longProperties"/>
  </ds:schemaRefs>
</ds:datastoreItem>
</file>

<file path=customXml/itemProps2.xml><?xml version="1.0" encoding="utf-8"?>
<ds:datastoreItem xmlns:ds="http://schemas.openxmlformats.org/officeDocument/2006/customXml" ds:itemID="{EF5B62E6-5444-4085-A305-9B123AD7670A}"/>
</file>

<file path=customXml/itemProps3.xml><?xml version="1.0" encoding="utf-8"?>
<ds:datastoreItem xmlns:ds="http://schemas.openxmlformats.org/officeDocument/2006/customXml" ds:itemID="{74C6D5AD-7B59-4C13-8256-750B0B6A9555}"/>
</file>

<file path=customXml/itemProps4.xml><?xml version="1.0" encoding="utf-8"?>
<ds:datastoreItem xmlns:ds="http://schemas.openxmlformats.org/officeDocument/2006/customXml" ds:itemID="{D592059C-7F08-431D-AE9C-7A4749F62CD6}"/>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2022-08-31T15:39:00Z</dcterms:created>
  <dcterms:modified xsi:type="dcterms:W3CDTF">2022-09-02T16:06:00Z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0x010100673B04A34630D14B88C381430438A146</vt:lpwstr>
  </property>
</Properties>
</file>